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Emphasis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Hyperlink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rPr>
          <w:rFonts w:eastAsia="" w:cs="Calibri" w:cstheme="minorHAnsi" w:eastAsiaTheme="majorEastAsia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Emphasis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LibreOffice/24.2.7.2$Windows_X86_64 LibreOffice_project/ee3885777aa7032db5a9b65deec9457448a91162</Application>
  <AppVersion>15.0000</AppVersion>
  <Pages>2</Pages>
  <Words>585</Words>
  <Characters>3889</Characters>
  <CharactersWithSpaces>4451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/>
  <cp:lastPrinted>2025-03-11T12:51:27Z</cp:lastPrinted>
  <dcterms:modified xsi:type="dcterms:W3CDTF">2025-03-11T12:51:33Z</dcterms:modified>
  <cp:revision>7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